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926" w14:textId="530C1914" w:rsidR="00454B34" w:rsidRPr="001D5FB5" w:rsidRDefault="007C7D95" w:rsidP="001D5FB5">
      <w:pPr>
        <w:spacing w:before="100" w:beforeAutospacing="1"/>
        <w:ind w:right="-677"/>
        <w:jc w:val="center"/>
        <w:rPr>
          <w:bCs/>
          <w:color w:val="000000" w:themeColor="text1"/>
          <w:sz w:val="28"/>
          <w:szCs w:val="28"/>
        </w:rPr>
      </w:pPr>
      <w:bookmarkStart w:id="0" w:name="_Hlk18576827"/>
      <w:r w:rsidRPr="001D5FB5">
        <w:rPr>
          <w:b/>
          <w:color w:val="000000" w:themeColor="text1"/>
          <w:sz w:val="28"/>
          <w:szCs w:val="28"/>
        </w:rPr>
        <w:t>Vaccination Verification</w:t>
      </w:r>
      <w:r w:rsidRPr="001D5FB5">
        <w:rPr>
          <w:bCs/>
          <w:color w:val="000000" w:themeColor="text1"/>
          <w:sz w:val="28"/>
          <w:szCs w:val="28"/>
        </w:rPr>
        <w:br/>
        <w:t>Employer Vaccination and/or Testing Disclosure Guidelines</w:t>
      </w:r>
    </w:p>
    <w:p w14:paraId="0668A08A" w14:textId="77777777" w:rsidR="00454B34" w:rsidRPr="001D5FB5" w:rsidRDefault="00454B34" w:rsidP="00454B34"/>
    <w:p w14:paraId="16DA88CA" w14:textId="000B07BB" w:rsidR="007C7D95" w:rsidRPr="001D5FB5" w:rsidRDefault="000F654F" w:rsidP="007C7D95">
      <w:pPr>
        <w:rPr>
          <w:shd w:val="clear" w:color="auto" w:fill="FFFFFF"/>
        </w:rPr>
      </w:pPr>
      <w:bookmarkStart w:id="1" w:name="_Hlk18576884"/>
      <w:r>
        <w:rPr>
          <w:shd w:val="clear" w:color="auto" w:fill="FFFFFF"/>
        </w:rPr>
        <w:br/>
      </w:r>
      <w:r w:rsidR="00763111" w:rsidRPr="001D5FB5">
        <w:rPr>
          <w:shd w:val="clear" w:color="auto" w:fill="FFFFFF"/>
        </w:rPr>
        <w:t>The plan (policy) should be made readily accessible to all employees through the employer’s normal methods of distributing information to employees. Employers are not required to submit their written policy to OSHA, unless requested. However, the Assistant Secretary may request the employer’s written plan for examination and copying. Under paragraph (l)(3)(</w:t>
      </w:r>
      <w:proofErr w:type="spellStart"/>
      <w:r w:rsidR="00763111" w:rsidRPr="001D5FB5">
        <w:rPr>
          <w:shd w:val="clear" w:color="auto" w:fill="FFFFFF"/>
        </w:rPr>
        <w:t>i</w:t>
      </w:r>
      <w:proofErr w:type="spellEnd"/>
      <w:r w:rsidR="00763111" w:rsidRPr="001D5FB5">
        <w:rPr>
          <w:shd w:val="clear" w:color="auto" w:fill="FFFFFF"/>
        </w:rPr>
        <w:t>), the employer must provide its written policy to the Assistant Secretary for examination and copying within 4 business hours of a request.</w:t>
      </w:r>
    </w:p>
    <w:p w14:paraId="45601FE5" w14:textId="58BE5FBC" w:rsidR="00763111" w:rsidRPr="001D5FB5" w:rsidRDefault="007C7D95" w:rsidP="007C7D95">
      <w:pPr>
        <w:rPr>
          <w:shd w:val="clear" w:color="auto" w:fill="FFFFFF"/>
        </w:rPr>
      </w:pPr>
      <w:r w:rsidRPr="001D5FB5">
        <w:rPr>
          <w:shd w:val="clear" w:color="auto" w:fill="FFFFFF"/>
        </w:rPr>
        <w:br/>
      </w:r>
      <w:r w:rsidR="00763111" w:rsidRPr="001D5FB5">
        <w:t>The employer must inform each employee, in a language</w:t>
      </w:r>
      <w:r w:rsidRPr="001D5FB5">
        <w:t>,</w:t>
      </w:r>
      <w:r w:rsidR="00763111" w:rsidRPr="001D5FB5">
        <w:t xml:space="preserve"> and at a literacy level the employee understands, about:</w:t>
      </w:r>
    </w:p>
    <w:p w14:paraId="13B4759A" w14:textId="16D60D6F" w:rsidR="00763111" w:rsidRPr="001D5FB5" w:rsidRDefault="007C7D95" w:rsidP="00763111">
      <w:pPr>
        <w:widowControl/>
        <w:numPr>
          <w:ilvl w:val="0"/>
          <w:numId w:val="13"/>
        </w:numPr>
        <w:shd w:val="clear" w:color="auto" w:fill="FFFFFF"/>
        <w:autoSpaceDE/>
        <w:autoSpaceDN/>
        <w:spacing w:before="100" w:beforeAutospacing="1" w:after="100" w:afterAutospacing="1"/>
        <w:rPr>
          <w:rFonts w:eastAsia="Times New Roman"/>
        </w:rPr>
      </w:pPr>
      <w:r w:rsidRPr="001D5FB5">
        <w:rPr>
          <w:rFonts w:eastAsia="Times New Roman"/>
        </w:rPr>
        <w:t>T</w:t>
      </w:r>
      <w:r w:rsidR="00763111" w:rsidRPr="001D5FB5">
        <w:rPr>
          <w:rFonts w:eastAsia="Times New Roman"/>
        </w:rPr>
        <w:t>he requirements of §1910.501 and any policies and procedures the employer establishes to implement this ETS. This includes:</w:t>
      </w:r>
    </w:p>
    <w:p w14:paraId="0D104D85"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any employer policies under paragraph (d</w:t>
      </w:r>
      <w:proofErr w:type="gramStart"/>
      <w:r w:rsidRPr="001D5FB5">
        <w:rPr>
          <w:rFonts w:eastAsia="Times New Roman"/>
        </w:rPr>
        <w:t>);</w:t>
      </w:r>
      <w:proofErr w:type="gramEnd"/>
    </w:p>
    <w:p w14:paraId="457AA01D"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the process that will be used to determine employee vaccination status, as required under paragraph (e</w:t>
      </w:r>
      <w:proofErr w:type="gramStart"/>
      <w:r w:rsidRPr="001D5FB5">
        <w:rPr>
          <w:rFonts w:eastAsia="Times New Roman"/>
        </w:rPr>
        <w:t>);</w:t>
      </w:r>
      <w:proofErr w:type="gramEnd"/>
    </w:p>
    <w:p w14:paraId="0C5D463D"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the time and pay/leave they are entitled to for vaccinations and any side effects experienced following vaccinations, as required by paragraph (f</w:t>
      </w:r>
      <w:proofErr w:type="gramStart"/>
      <w:r w:rsidRPr="001D5FB5">
        <w:rPr>
          <w:rFonts w:eastAsia="Times New Roman"/>
        </w:rPr>
        <w:t>);</w:t>
      </w:r>
      <w:proofErr w:type="gramEnd"/>
    </w:p>
    <w:p w14:paraId="715C537F"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the procedures they need to follow to provide notice of a positive COVID-19 test or diagnosis of COVID-19 by a licensed healthcare provider, as required under paragraph (h</w:t>
      </w:r>
      <w:proofErr w:type="gramStart"/>
      <w:r w:rsidRPr="001D5FB5">
        <w:rPr>
          <w:rFonts w:eastAsia="Times New Roman"/>
        </w:rPr>
        <w:t>);</w:t>
      </w:r>
      <w:proofErr w:type="gramEnd"/>
    </w:p>
    <w:p w14:paraId="7DFC17F5"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and the procedures to be used for requesting records under paragraph (l).</w:t>
      </w:r>
    </w:p>
    <w:p w14:paraId="4B3016B4" w14:textId="77777777" w:rsidR="00763111" w:rsidRPr="001D5FB5" w:rsidRDefault="00763111" w:rsidP="00763111">
      <w:pPr>
        <w:widowControl/>
        <w:numPr>
          <w:ilvl w:val="1"/>
          <w:numId w:val="13"/>
        </w:numPr>
        <w:shd w:val="clear" w:color="auto" w:fill="FFFFFF"/>
        <w:autoSpaceDE/>
        <w:autoSpaceDN/>
        <w:spacing w:before="100" w:beforeAutospacing="1" w:after="100" w:afterAutospacing="1"/>
        <w:rPr>
          <w:rFonts w:eastAsia="Times New Roman"/>
        </w:rPr>
      </w:pPr>
      <w:r w:rsidRPr="001D5FB5">
        <w:rPr>
          <w:rFonts w:eastAsia="Times New Roman"/>
        </w:rPr>
        <w:t>Employers must provide additional information to unvaccinated employees, including information about the employer’s policies and procedures for COVID-19 testing and face coverings, as required by paragraphs (g) and (</w:t>
      </w:r>
      <w:proofErr w:type="spellStart"/>
      <w:r w:rsidRPr="001D5FB5">
        <w:rPr>
          <w:rFonts w:eastAsia="Times New Roman"/>
        </w:rPr>
        <w:t>i</w:t>
      </w:r>
      <w:proofErr w:type="spellEnd"/>
      <w:r w:rsidRPr="001D5FB5">
        <w:rPr>
          <w:rFonts w:eastAsia="Times New Roman"/>
        </w:rPr>
        <w:t>), respectively.</w:t>
      </w:r>
    </w:p>
    <w:p w14:paraId="0EE3C53F" w14:textId="1ACCAC22" w:rsidR="00763111" w:rsidRPr="001D5FB5" w:rsidRDefault="00763111" w:rsidP="00763111">
      <w:pPr>
        <w:shd w:val="clear" w:color="auto" w:fill="FFFFFF"/>
        <w:spacing w:after="150"/>
      </w:pPr>
      <w:r w:rsidRPr="001D5FB5">
        <w:t xml:space="preserve">In </w:t>
      </w:r>
      <w:r w:rsidR="000F654F" w:rsidRPr="001D5FB5">
        <w:t>addition,</w:t>
      </w:r>
      <w:r w:rsidRPr="001D5FB5">
        <w:t xml:space="preserve"> the information provided to employees must address:</w:t>
      </w:r>
    </w:p>
    <w:p w14:paraId="5312AACC" w14:textId="77777777" w:rsidR="00763111" w:rsidRPr="001D5FB5" w:rsidRDefault="00763111" w:rsidP="00763111">
      <w:pPr>
        <w:widowControl/>
        <w:numPr>
          <w:ilvl w:val="0"/>
          <w:numId w:val="14"/>
        </w:numPr>
        <w:shd w:val="clear" w:color="auto" w:fill="FFFFFF"/>
        <w:autoSpaceDE/>
        <w:autoSpaceDN/>
        <w:spacing w:before="100" w:beforeAutospacing="1" w:after="100" w:afterAutospacing="1"/>
        <w:rPr>
          <w:rFonts w:eastAsia="Times New Roman"/>
        </w:rPr>
      </w:pPr>
      <w:r w:rsidRPr="001D5FB5">
        <w:rPr>
          <w:rFonts w:eastAsia="Times New Roman"/>
        </w:rPr>
        <w:t>COVID-19 vaccine efficacy, safety, and the benefits of being vaccinated (by providing the document, “</w:t>
      </w:r>
      <w:r w:rsidRPr="001D5FB5">
        <w:rPr>
          <w:rFonts w:eastAsia="Times New Roman"/>
          <w:i/>
          <w:iCs/>
        </w:rPr>
        <w:t>Key Things to Know About COVID-19 Vaccines</w:t>
      </w:r>
      <w:r w:rsidRPr="001D5FB5">
        <w:rPr>
          <w:rFonts w:eastAsia="Times New Roman"/>
        </w:rPr>
        <w:t>,” available at </w:t>
      </w:r>
      <w:hyperlink r:id="rId7" w:tooltip="Key Things to Know About COVID-19 Vaccines" w:history="1">
        <w:r w:rsidRPr="001D5FB5">
          <w:rPr>
            <w:rStyle w:val="Hyperlink"/>
            <w:rFonts w:eastAsia="Times New Roman"/>
            <w:color w:val="auto"/>
          </w:rPr>
          <w:t>https://www.cdc.gov/coronavirus/2019-ncov/vaccines/keythingstoknow.html</w:t>
        </w:r>
      </w:hyperlink>
      <w:r w:rsidRPr="001D5FB5">
        <w:rPr>
          <w:rFonts w:eastAsia="Times New Roman"/>
        </w:rPr>
        <w:t>);</w:t>
      </w:r>
    </w:p>
    <w:p w14:paraId="0E2F34B2" w14:textId="77777777" w:rsidR="00763111" w:rsidRPr="001D5FB5" w:rsidRDefault="00763111" w:rsidP="00763111">
      <w:pPr>
        <w:widowControl/>
        <w:numPr>
          <w:ilvl w:val="0"/>
          <w:numId w:val="14"/>
        </w:numPr>
        <w:shd w:val="clear" w:color="auto" w:fill="FFFFFF"/>
        <w:autoSpaceDE/>
        <w:autoSpaceDN/>
        <w:spacing w:before="100" w:beforeAutospacing="1" w:after="100" w:afterAutospacing="1"/>
        <w:rPr>
          <w:rFonts w:eastAsia="Times New Roman"/>
        </w:rPr>
      </w:pPr>
      <w:r w:rsidRPr="001D5FB5">
        <w:rPr>
          <w:rFonts w:eastAsia="Times New Roman"/>
        </w:rPr>
        <w:t xml:space="preserve">the requirements of 29 CFR 1904.35(b)(1)(iv), which prohibits the employer from discharging or in any manner discriminating against an employee for reporting work-related injuries or illness, and Section 11(c) of the OSH Act, which prohibits the employer from discriminating against an employee for exercising rights under, or </w:t>
      </w:r>
      <w:proofErr w:type="gramStart"/>
      <w:r w:rsidRPr="001D5FB5">
        <w:rPr>
          <w:rFonts w:eastAsia="Times New Roman"/>
        </w:rPr>
        <w:t>as a result of</w:t>
      </w:r>
      <w:proofErr w:type="gramEnd"/>
      <w:r w:rsidRPr="001D5FB5">
        <w:rPr>
          <w:rFonts w:eastAsia="Times New Roman"/>
        </w:rPr>
        <w:t xml:space="preserve"> actions that are required by, the ETS. Section 11(c) also protects the employee from retaliation for filing an occupational safety or health complaint, reporting a work-related injuries or illness, or otherwise exercising any rights afforded by the OSH Act (fact sheet available in </w:t>
      </w:r>
      <w:hyperlink r:id="rId8" w:tooltip="Workers’ Rights under the COVID-19 Vaccination and Testing ETS - English - PDF" w:history="1">
        <w:r w:rsidRPr="001D5FB5">
          <w:rPr>
            <w:rStyle w:val="Hyperlink"/>
            <w:rFonts w:eastAsia="Times New Roman"/>
            <w:color w:val="auto"/>
          </w:rPr>
          <w:t>English</w:t>
        </w:r>
      </w:hyperlink>
      <w:r w:rsidRPr="001D5FB5">
        <w:rPr>
          <w:rFonts w:eastAsia="Times New Roman"/>
        </w:rPr>
        <w:t> and </w:t>
      </w:r>
      <w:hyperlink r:id="rId9" w:tooltip="Derechos de los trabajadores bajo la Norma Temporal de Emergencia para vacunación y pruebas de COVID-19 - Spanish - PDF" w:history="1">
        <w:r w:rsidRPr="001D5FB5">
          <w:rPr>
            <w:rStyle w:val="Hyperlink"/>
            <w:rFonts w:eastAsia="Times New Roman"/>
            <w:color w:val="auto"/>
          </w:rPr>
          <w:t>Spanish</w:t>
        </w:r>
      </w:hyperlink>
      <w:r w:rsidRPr="001D5FB5">
        <w:rPr>
          <w:rFonts w:eastAsia="Times New Roman"/>
        </w:rPr>
        <w:t>); and</w:t>
      </w:r>
    </w:p>
    <w:p w14:paraId="70676F27" w14:textId="3F9A820E" w:rsidR="00763111" w:rsidRPr="001D5FB5" w:rsidRDefault="00763111" w:rsidP="00372881">
      <w:pPr>
        <w:widowControl/>
        <w:numPr>
          <w:ilvl w:val="0"/>
          <w:numId w:val="14"/>
        </w:numPr>
        <w:shd w:val="clear" w:color="auto" w:fill="FFFFFF"/>
        <w:autoSpaceDE/>
        <w:autoSpaceDN/>
        <w:spacing w:before="100" w:beforeAutospacing="1" w:after="100" w:afterAutospacing="1"/>
        <w:rPr>
          <w:rFonts w:eastAsia="Times New Roman"/>
        </w:rPr>
      </w:pPr>
      <w:r w:rsidRPr="001D5FB5">
        <w:rPr>
          <w:rFonts w:eastAsia="Times New Roman"/>
        </w:rPr>
        <w:t>the prohibitions of 18 U.S.C. § 1001 and of Section 17(g) of the OSH Act, which provide for criminal penalties associated with knowingly supplying false statements or documentation (fact sheet available in </w:t>
      </w:r>
      <w:hyperlink r:id="rId10" w:tooltip="Information for Employees on Penalties for False Statements and Records - English - PDF" w:history="1">
        <w:r w:rsidRPr="001D5FB5">
          <w:rPr>
            <w:rStyle w:val="Hyperlink"/>
            <w:rFonts w:eastAsia="Times New Roman"/>
            <w:color w:val="auto"/>
          </w:rPr>
          <w:t>English</w:t>
        </w:r>
      </w:hyperlink>
      <w:r w:rsidRPr="001D5FB5">
        <w:rPr>
          <w:rFonts w:eastAsia="Times New Roman"/>
        </w:rPr>
        <w:t> and </w:t>
      </w:r>
      <w:hyperlink r:id="rId11" w:tooltip="Información para los empleados sobre las sanciones por declaraciones y registros falsos - Spanish - PDF" w:history="1">
        <w:r w:rsidRPr="001D5FB5">
          <w:rPr>
            <w:rStyle w:val="Hyperlink"/>
            <w:rFonts w:eastAsia="Times New Roman"/>
            <w:color w:val="auto"/>
          </w:rPr>
          <w:t>Spanish</w:t>
        </w:r>
      </w:hyperlink>
      <w:r w:rsidRPr="001D5FB5">
        <w:rPr>
          <w:rFonts w:eastAsia="Times New Roman"/>
        </w:rPr>
        <w:t>).</w:t>
      </w:r>
      <w:bookmarkEnd w:id="0"/>
      <w:bookmarkEnd w:id="1"/>
    </w:p>
    <w:sectPr w:rsidR="00763111" w:rsidRPr="001D5FB5" w:rsidSect="003840FD">
      <w:headerReference w:type="default" r:id="rId12"/>
      <w:footerReference w:type="default" r:id="rId13"/>
      <w:type w:val="continuous"/>
      <w:pgSz w:w="12240" w:h="15840"/>
      <w:pgMar w:top="1360" w:right="1340" w:bottom="1220" w:left="1320"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4BA2" w14:textId="77777777" w:rsidR="00364C39" w:rsidRDefault="00364C39">
      <w:r>
        <w:separator/>
      </w:r>
    </w:p>
  </w:endnote>
  <w:endnote w:type="continuationSeparator" w:id="0">
    <w:p w14:paraId="6FCAB6F7" w14:textId="77777777" w:rsidR="00364C39" w:rsidRDefault="0036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B055" w14:textId="7ED3ED44" w:rsidR="004F51E5" w:rsidRDefault="004F51E5" w:rsidP="004F51E5">
    <w:pPr>
      <w:pStyle w:val="CM5"/>
      <w:spacing w:after="120"/>
      <w:ind w:left="-720" w:right="-500"/>
      <w:jc w:val="center"/>
      <w:rPr>
        <w:rFonts w:asciiTheme="minorHAnsi" w:hAnsiTheme="minorHAnsi"/>
        <w:sz w:val="20"/>
        <w:szCs w:val="20"/>
        <w:lang w:val="it-IT"/>
      </w:rPr>
    </w:pPr>
    <w:r>
      <w:rPr>
        <w:rFonts w:asciiTheme="minorHAnsi" w:hAnsiTheme="minorHAnsi"/>
        <w:sz w:val="20"/>
        <w:szCs w:val="20"/>
        <w:lang w:val="it-IT"/>
      </w:rPr>
      <w:t>BASIC   I   www.basiconline.com</w:t>
    </w:r>
    <w:r>
      <w:rPr>
        <w:rFonts w:asciiTheme="minorHAnsi" w:hAnsiTheme="minorHAnsi"/>
        <w:color w:val="000000" w:themeColor="text1"/>
        <w:sz w:val="20"/>
        <w:szCs w:val="20"/>
        <w:lang w:val="it-IT"/>
      </w:rPr>
      <w:t xml:space="preserve">   I   </w:t>
    </w:r>
    <w:r>
      <w:rPr>
        <w:rFonts w:asciiTheme="minorHAnsi" w:hAnsiTheme="minorHAnsi"/>
        <w:sz w:val="20"/>
        <w:szCs w:val="20"/>
        <w:lang w:val="it-IT"/>
      </w:rPr>
      <w:t>BA-67</w:t>
    </w:r>
    <w:r>
      <w:rPr>
        <w:rFonts w:asciiTheme="minorHAnsi" w:hAnsiTheme="minorHAnsi"/>
        <w:sz w:val="20"/>
        <w:szCs w:val="20"/>
        <w:lang w:val="it-IT"/>
      </w:rPr>
      <w:t>15</w:t>
    </w:r>
    <w:r>
      <w:rPr>
        <w:rFonts w:asciiTheme="minorHAnsi" w:hAnsiTheme="minorHAnsi"/>
        <w:sz w:val="20"/>
        <w:szCs w:val="20"/>
        <w:lang w:val="it-IT"/>
      </w:rPr>
      <w:t>-122921</w:t>
    </w:r>
  </w:p>
  <w:p w14:paraId="46BED49C" w14:textId="7A1D8078" w:rsidR="001D5FB5" w:rsidRPr="004F51E5" w:rsidRDefault="004F51E5" w:rsidP="004F51E5">
    <w:pPr>
      <w:shd w:val="clear" w:color="auto" w:fill="FFFFFF"/>
      <w:spacing w:after="120"/>
      <w:jc w:val="center"/>
      <w:rPr>
        <w:rFonts w:eastAsia="Times New Roman"/>
        <w:color w:val="000000" w:themeColor="text1"/>
        <w:sz w:val="24"/>
        <w:szCs w:val="24"/>
      </w:rPr>
    </w:pPr>
    <w:r>
      <w:rPr>
        <w:rFonts w:eastAsia="Times New Roman"/>
        <w:i/>
        <w:iCs/>
        <w:color w:val="000000" w:themeColor="text1"/>
        <w:sz w:val="16"/>
        <w:szCs w:val="16"/>
      </w:rPr>
      <w:t>The information in this communication is confidential and may be used by the authorized recipient only for its intended purpose only.</w:t>
    </w:r>
    <w:r>
      <w:rPr>
        <w:rFonts w:eastAsia="Times New Roman"/>
        <w:i/>
        <w:iCs/>
        <w:color w:val="000000" w:themeColor="text1"/>
        <w:sz w:val="16"/>
        <w:szCs w:val="16"/>
      </w:rPr>
      <w:br/>
      <w:t>Any other use or disclosure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8203" w14:textId="77777777" w:rsidR="00364C39" w:rsidRDefault="00364C39">
      <w:r>
        <w:separator/>
      </w:r>
    </w:p>
  </w:footnote>
  <w:footnote w:type="continuationSeparator" w:id="0">
    <w:p w14:paraId="7260FCD0" w14:textId="77777777" w:rsidR="00364C39" w:rsidRDefault="0036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4A73" w14:textId="0FC24B08" w:rsidR="001D5FB5" w:rsidRDefault="001D5FB5">
    <w:pPr>
      <w:pStyle w:val="Header"/>
    </w:pPr>
    <w:r>
      <w:rPr>
        <w:rFonts w:ascii="Times New Roman" w:hAnsi="Times New Roman" w:cs="Times New Roman"/>
        <w:noProof/>
        <w:sz w:val="24"/>
        <w:szCs w:val="24"/>
      </w:rPr>
      <w:drawing>
        <wp:inline distT="0" distB="0" distL="0" distR="0" wp14:anchorId="2BC51B45" wp14:editId="43B3E3BC">
          <wp:extent cx="1828800" cy="70701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17" cy="718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6"/>
    <w:multiLevelType w:val="hybridMultilevel"/>
    <w:tmpl w:val="E062D1A8"/>
    <w:lvl w:ilvl="0" w:tplc="CAA00584">
      <w:start w:val="1"/>
      <w:numFmt w:val="decimal"/>
      <w:lvlText w:val="(%1)"/>
      <w:lvlJc w:val="left"/>
      <w:pPr>
        <w:ind w:left="840" w:hanging="331"/>
      </w:pPr>
      <w:rPr>
        <w:rFonts w:ascii="Arial" w:eastAsia="Arial" w:hAnsi="Arial" w:cs="Arial" w:hint="default"/>
        <w:w w:val="99"/>
        <w:sz w:val="22"/>
        <w:szCs w:val="22"/>
        <w:lang w:val="en-US" w:eastAsia="en-US" w:bidi="en-US"/>
      </w:rPr>
    </w:lvl>
    <w:lvl w:ilvl="1" w:tplc="D9B229BA">
      <w:numFmt w:val="bullet"/>
      <w:lvlText w:val="•"/>
      <w:lvlJc w:val="left"/>
      <w:pPr>
        <w:ind w:left="1714" w:hanging="331"/>
      </w:pPr>
      <w:rPr>
        <w:rFonts w:hint="default"/>
        <w:lang w:val="en-US" w:eastAsia="en-US" w:bidi="en-US"/>
      </w:rPr>
    </w:lvl>
    <w:lvl w:ilvl="2" w:tplc="46E43056">
      <w:numFmt w:val="bullet"/>
      <w:lvlText w:val="•"/>
      <w:lvlJc w:val="left"/>
      <w:pPr>
        <w:ind w:left="2588" w:hanging="331"/>
      </w:pPr>
      <w:rPr>
        <w:rFonts w:hint="default"/>
        <w:lang w:val="en-US" w:eastAsia="en-US" w:bidi="en-US"/>
      </w:rPr>
    </w:lvl>
    <w:lvl w:ilvl="3" w:tplc="B83C7CEC">
      <w:numFmt w:val="bullet"/>
      <w:lvlText w:val="•"/>
      <w:lvlJc w:val="left"/>
      <w:pPr>
        <w:ind w:left="3462" w:hanging="331"/>
      </w:pPr>
      <w:rPr>
        <w:rFonts w:hint="default"/>
        <w:lang w:val="en-US" w:eastAsia="en-US" w:bidi="en-US"/>
      </w:rPr>
    </w:lvl>
    <w:lvl w:ilvl="4" w:tplc="0AF6E3C8">
      <w:numFmt w:val="bullet"/>
      <w:lvlText w:val="•"/>
      <w:lvlJc w:val="left"/>
      <w:pPr>
        <w:ind w:left="4336" w:hanging="331"/>
      </w:pPr>
      <w:rPr>
        <w:rFonts w:hint="default"/>
        <w:lang w:val="en-US" w:eastAsia="en-US" w:bidi="en-US"/>
      </w:rPr>
    </w:lvl>
    <w:lvl w:ilvl="5" w:tplc="03985B68">
      <w:numFmt w:val="bullet"/>
      <w:lvlText w:val="•"/>
      <w:lvlJc w:val="left"/>
      <w:pPr>
        <w:ind w:left="5210" w:hanging="331"/>
      </w:pPr>
      <w:rPr>
        <w:rFonts w:hint="default"/>
        <w:lang w:val="en-US" w:eastAsia="en-US" w:bidi="en-US"/>
      </w:rPr>
    </w:lvl>
    <w:lvl w:ilvl="6" w:tplc="413C2F2E">
      <w:numFmt w:val="bullet"/>
      <w:lvlText w:val="•"/>
      <w:lvlJc w:val="left"/>
      <w:pPr>
        <w:ind w:left="6084" w:hanging="331"/>
      </w:pPr>
      <w:rPr>
        <w:rFonts w:hint="default"/>
        <w:lang w:val="en-US" w:eastAsia="en-US" w:bidi="en-US"/>
      </w:rPr>
    </w:lvl>
    <w:lvl w:ilvl="7" w:tplc="62E8F2E2">
      <w:numFmt w:val="bullet"/>
      <w:lvlText w:val="•"/>
      <w:lvlJc w:val="left"/>
      <w:pPr>
        <w:ind w:left="6958" w:hanging="331"/>
      </w:pPr>
      <w:rPr>
        <w:rFonts w:hint="default"/>
        <w:lang w:val="en-US" w:eastAsia="en-US" w:bidi="en-US"/>
      </w:rPr>
    </w:lvl>
    <w:lvl w:ilvl="8" w:tplc="8DE02FC6">
      <w:numFmt w:val="bullet"/>
      <w:lvlText w:val="•"/>
      <w:lvlJc w:val="left"/>
      <w:pPr>
        <w:ind w:left="7832" w:hanging="331"/>
      </w:pPr>
      <w:rPr>
        <w:rFonts w:hint="default"/>
        <w:lang w:val="en-US" w:eastAsia="en-US" w:bidi="en-US"/>
      </w:rPr>
    </w:lvl>
  </w:abstractNum>
  <w:abstractNum w:abstractNumId="1" w15:restartNumberingAfterBreak="0">
    <w:nsid w:val="07D47A90"/>
    <w:multiLevelType w:val="hybridMultilevel"/>
    <w:tmpl w:val="0DF0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3" w15:restartNumberingAfterBreak="0">
    <w:nsid w:val="167706C3"/>
    <w:multiLevelType w:val="multilevel"/>
    <w:tmpl w:val="13A89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21459"/>
    <w:multiLevelType w:val="hybridMultilevel"/>
    <w:tmpl w:val="7912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94B37"/>
    <w:multiLevelType w:val="hybridMultilevel"/>
    <w:tmpl w:val="9FE6C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CD3D9A"/>
    <w:multiLevelType w:val="hybridMultilevel"/>
    <w:tmpl w:val="E1E8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433E9"/>
    <w:multiLevelType w:val="multilevel"/>
    <w:tmpl w:val="506232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722B9"/>
    <w:multiLevelType w:val="hybridMultilevel"/>
    <w:tmpl w:val="826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10" w15:restartNumberingAfterBreak="0">
    <w:nsid w:val="65CC7FCF"/>
    <w:multiLevelType w:val="hybridMultilevel"/>
    <w:tmpl w:val="E28A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40A87"/>
    <w:multiLevelType w:val="multilevel"/>
    <w:tmpl w:val="14044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64CD1"/>
    <w:multiLevelType w:val="hybridMultilevel"/>
    <w:tmpl w:val="71B235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B1F339C"/>
    <w:multiLevelType w:val="multilevel"/>
    <w:tmpl w:val="6B3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
  </w:num>
  <w:num w:numId="4">
    <w:abstractNumId w:val="5"/>
  </w:num>
  <w:num w:numId="5">
    <w:abstractNumId w:val="12"/>
  </w:num>
  <w:num w:numId="6">
    <w:abstractNumId w:val="13"/>
  </w:num>
  <w:num w:numId="7">
    <w:abstractNumId w:val="3"/>
  </w:num>
  <w:num w:numId="8">
    <w:abstractNumId w:val="8"/>
  </w:num>
  <w:num w:numId="9">
    <w:abstractNumId w:val="4"/>
  </w:num>
  <w:num w:numId="10">
    <w:abstractNumId w:val="6"/>
  </w:num>
  <w:num w:numId="11">
    <w:abstractNumId w:val="10"/>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56"/>
    <w:rsid w:val="000F654F"/>
    <w:rsid w:val="001A0610"/>
    <w:rsid w:val="001B4A4C"/>
    <w:rsid w:val="001D5FB5"/>
    <w:rsid w:val="00234394"/>
    <w:rsid w:val="00270E81"/>
    <w:rsid w:val="00284EDA"/>
    <w:rsid w:val="00341F94"/>
    <w:rsid w:val="00364C39"/>
    <w:rsid w:val="00372881"/>
    <w:rsid w:val="003840FD"/>
    <w:rsid w:val="00454B34"/>
    <w:rsid w:val="004A7ACF"/>
    <w:rsid w:val="004F51E5"/>
    <w:rsid w:val="005B3F56"/>
    <w:rsid w:val="00763111"/>
    <w:rsid w:val="007C7D95"/>
    <w:rsid w:val="0081063C"/>
    <w:rsid w:val="008C5C7E"/>
    <w:rsid w:val="00976690"/>
    <w:rsid w:val="009E77FF"/>
    <w:rsid w:val="00A266BE"/>
    <w:rsid w:val="00AC47E4"/>
    <w:rsid w:val="00B05EA1"/>
    <w:rsid w:val="00BC44A4"/>
    <w:rsid w:val="00C02CCB"/>
    <w:rsid w:val="00C30FCC"/>
    <w:rsid w:val="00C5664B"/>
    <w:rsid w:val="00EC3DCD"/>
    <w:rsid w:val="00F9444F"/>
    <w:rsid w:val="00FB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2217"/>
      <w:outlineLvl w:val="0"/>
    </w:pPr>
    <w:rPr>
      <w:b/>
      <w:bCs/>
      <w:sz w:val="28"/>
      <w:szCs w:val="28"/>
    </w:rPr>
  </w:style>
  <w:style w:type="paragraph" w:styleId="Heading2">
    <w:name w:val="heading 2"/>
    <w:basedOn w:val="Normal"/>
    <w:uiPriority w:val="9"/>
    <w:unhideWhenUsed/>
    <w:qFormat/>
    <w:pPr>
      <w:spacing w:before="79"/>
      <w:ind w:left="2340" w:hanging="361"/>
      <w:outlineLvl w:val="1"/>
    </w:pPr>
    <w:rPr>
      <w:b/>
      <w:bCs/>
      <w:sz w:val="24"/>
      <w:szCs w:val="24"/>
    </w:rPr>
  </w:style>
  <w:style w:type="paragraph" w:styleId="Heading3">
    <w:name w:val="heading 3"/>
    <w:basedOn w:val="Normal"/>
    <w:uiPriority w:val="9"/>
    <w:unhideWhenUsed/>
    <w:qFormat/>
    <w:pPr>
      <w:spacing w:before="161"/>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60"/>
      <w:ind w:left="840"/>
    </w:p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rsid w:val="00454B34"/>
    <w:rPr>
      <w:color w:val="0000FF"/>
      <w:u w:val="single"/>
    </w:rPr>
  </w:style>
  <w:style w:type="paragraph" w:styleId="FootnoteText">
    <w:name w:val="footnote text"/>
    <w:basedOn w:val="Normal"/>
    <w:link w:val="FootnoteTextChar"/>
    <w:uiPriority w:val="99"/>
    <w:semiHidden/>
    <w:unhideWhenUsed/>
    <w:rsid w:val="003840FD"/>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840FD"/>
    <w:rPr>
      <w:sz w:val="20"/>
      <w:szCs w:val="20"/>
    </w:rPr>
  </w:style>
  <w:style w:type="character" w:styleId="FootnoteReference">
    <w:name w:val="footnote reference"/>
    <w:basedOn w:val="DefaultParagraphFont"/>
    <w:uiPriority w:val="99"/>
    <w:semiHidden/>
    <w:unhideWhenUsed/>
    <w:rsid w:val="003840FD"/>
    <w:rPr>
      <w:vertAlign w:val="superscript"/>
    </w:rPr>
  </w:style>
  <w:style w:type="character" w:styleId="CommentReference">
    <w:name w:val="annotation reference"/>
    <w:basedOn w:val="DefaultParagraphFont"/>
    <w:uiPriority w:val="99"/>
    <w:semiHidden/>
    <w:unhideWhenUsed/>
    <w:rsid w:val="00234394"/>
    <w:rPr>
      <w:sz w:val="16"/>
      <w:szCs w:val="16"/>
    </w:rPr>
  </w:style>
  <w:style w:type="paragraph" w:styleId="CommentText">
    <w:name w:val="annotation text"/>
    <w:basedOn w:val="Normal"/>
    <w:link w:val="CommentTextChar"/>
    <w:uiPriority w:val="99"/>
    <w:semiHidden/>
    <w:unhideWhenUsed/>
    <w:rsid w:val="00234394"/>
    <w:rPr>
      <w:sz w:val="20"/>
      <w:szCs w:val="20"/>
    </w:rPr>
  </w:style>
  <w:style w:type="character" w:customStyle="1" w:styleId="CommentTextChar">
    <w:name w:val="Comment Text Char"/>
    <w:basedOn w:val="DefaultParagraphFont"/>
    <w:link w:val="CommentText"/>
    <w:uiPriority w:val="99"/>
    <w:semiHidden/>
    <w:rsid w:val="0023439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34394"/>
    <w:rPr>
      <w:b/>
      <w:bCs/>
    </w:rPr>
  </w:style>
  <w:style w:type="character" w:customStyle="1" w:styleId="CommentSubjectChar">
    <w:name w:val="Comment Subject Char"/>
    <w:basedOn w:val="CommentTextChar"/>
    <w:link w:val="CommentSubject"/>
    <w:uiPriority w:val="99"/>
    <w:semiHidden/>
    <w:rsid w:val="0023439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3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394"/>
    <w:rPr>
      <w:rFonts w:ascii="Segoe UI" w:eastAsia="Arial" w:hAnsi="Segoe UI" w:cs="Segoe UI"/>
      <w:sz w:val="18"/>
      <w:szCs w:val="18"/>
      <w:lang w:bidi="en-US"/>
    </w:rPr>
  </w:style>
  <w:style w:type="character" w:customStyle="1" w:styleId="fontstyle01">
    <w:name w:val="fontstyle01"/>
    <w:basedOn w:val="DefaultParagraphFont"/>
    <w:rsid w:val="00372881"/>
    <w:rPr>
      <w:rFonts w:ascii="Calibri" w:hAnsi="Calibri" w:cs="Calibri" w:hint="default"/>
      <w:b w:val="0"/>
      <w:bCs w:val="0"/>
      <w:i w:val="0"/>
      <w:iCs w:val="0"/>
      <w:color w:val="00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2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415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vaccines/keythingstoknow.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publications/OSHA415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sha.gov/sites/default/files/publications/OSHA4157.pdf" TargetMode="External"/><Relationship Id="rId4" Type="http://schemas.openxmlformats.org/officeDocument/2006/relationships/webSettings" Target="webSettings.xml"/><Relationship Id="rId9" Type="http://schemas.openxmlformats.org/officeDocument/2006/relationships/hyperlink" Target="https://www.osha.gov/sites/default/files/publications/OSHA416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Stephanie Anderson</cp:lastModifiedBy>
  <cp:revision>6</cp:revision>
  <dcterms:created xsi:type="dcterms:W3CDTF">2021-11-23T01:21:00Z</dcterms:created>
  <dcterms:modified xsi:type="dcterms:W3CDTF">2021-12-29T20:36:00Z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